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Белов А.А. обратился в суд с заявлением о включении в реестр требований кредиторов должника (далее – реестр) задолженности в размере 1 510 273 рубля 87 копеек, в том числе 134 887 рублей компенсации затрат для устранения недостатков, 67 443 рубля 50 копеек штрафа за несоблюдение в добровольном порядке удовлетворения требований потребителя в размере 50% от заявленной к взысканию суммы, 1 307 943 рубля 37 копеек неустойки за нарушение срока передачи квартиры, начисленной за период с 31.12.2015 по 02.02.2021. Определением Арбитражного суда Челябинской области от 18.06.2021 заявление удовлетворено в части включения в третью очередь реестра требования в сумме 1 189 086 рублей 27 копеек, в удовлетворении остальной части заявленных требований отказано. Постановлением Восемнадцатого арбитражного апелляционного суда от 21.10.2021, оставленным без изменения постановлением Арбитражного суда Уральского округа от 14.02.2022, данное определение отменено;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196, 200, 471, 477, 483, 725 Гражданского кодекса Российской Федерации, статьями 6, 7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исходили из отсутствия оснований для включения в реестр требований кредитора, пропустившего срок исковой давности для защиты своего нарушенного права.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Андрею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Белова Андрея Анатольевича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