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ФИО3 обратился в суд с заявлением о признании незаконными действий конкурсного управляющего ФИО2 по произведенным выплатам с расчётного счёта должника, взыскании с него убытков в размере 206 169 рублей 90 копеек. Определением Арбитражного суда Оренбургской области от 13.06.2021, оставленным без изменения постановлениями Восемнадцатого арбитражного апелляционного суда от 10.08.2021 и Арбитражного суда Уральского округа от 20.12.2021,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Оренбургской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таких оснований не установлено. Разрешая спор, суды, руководствуясь статьями 20.3, 20.4, 60, 142 Федерального закона от 26.10.2002 № 127-ФЗ «О несостоятельности (банкротстве)», установив факт ненадлежащего исполнения заявителем возложенных на него обязанностей конкурсного управляющего должником, нарушения им очерёдности удовлетворения текущих требований, повлекших необоснованное расходование денежных средств из конкурсной массы, удовлетворили требования кредитора по заявленным основаниям и в установленном размере.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«Черемушки»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Последние документы по делу: Определение от 25 апреля 2022 г. по делу № А47-9412/2010 Определение от 7 апреля 2022 г. по делу № А47-9412/2010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