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её супруг Комов Александр Васильевич обратился в суд с заявлением о признании недействительными торгов по продаже автомобиля Тойота Камри, 2006 год выпуска; договора купли – продажи от 16.09.2020, заключённого с победителем торгов Кривошеиной Тамарой Михайловной и договора купли-продажи от 22.11.2020, заключённого между Кривошеиной Т.М. и Долговым Александром Зауровичем. Определением Арбитражного суда Алтайского края от 30.06.2021, оставленным без изменения постановлениями Седьмого арбитражного апелляционного суда от 10.09.2021 и Арбитражного суда Западно-Сибирского округа от 29.12.2021,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170, 447 – 449 Гражданского кодекса Российской Федерации, статьями 110, 139 Федерального закона от 26.10.2002 № 127-ФЗ «О несостоятельности (банкротстве)», исходили из того, что допущенные при проведении оспариваемых торгов нарушения требований закона являлись существенными и повлияли на их результат, предоставив заинтересованному лицу возможность через цепочку подозрительных сделок приобрести имущество должника на условиях, не доступных иным участникам гражданского оборота и по заниженной цене, в связи с чем удовлетворили заявленные требования.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Комовой Натальи Александровны Тагильцеву Александру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