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включении в реестр требований кредиторов должника (далее – реестр) требования в общем размере 4 094 956 рублей 16 копеек. Определением Арбитражного суда Камчатского края от 18.08.2021, оставленным без изменения постановлением Пятого арбитражного апелляционного суда от 15.10.2021, требование в заявленном размере признано обоснованным и подлежащим включению в третью очередь реестра. Постановлением Арбитражного суда Дальневосточного округа от 10.01.2022 данные судебные акты изменены части определения очерёдности удовлетворения требования кредитора. Данное требование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Изменяя принятые по делу судебные акты и понижая очерёдность удовлетворения требования заявителя, суд округа, руководствуясь статьями 2, 19, 71, 100, 142 Федерального закона от 26.10.2002 № 127-ФЗ «О несостоятельности (банкротстве)», правовыми позициями, закреплёнными в Обзоре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утверждённом Президиумом Верховного Суда Российской Федерации 29.01.2020, исходил из того, что оно направлено на возврат компенсационного финансирования, ранее предоставленного должнику в ситуации имущественного кризиса, в связи с чем не может конкурировать с требованиями иных (независимых) кредиторов.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норм процессуального права, которые бы повлияли на исход судебного разбирательства,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Иванову Василию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