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решением суда первой инстанции от 28.04.2021, оставленным без изменения постановлениями Десятого арбитражного апелляционного суда от 13.07.2021 и Арбитражного суда Московского округа от 28.12.2021, в удовлетворении иска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обществом (концессионер), администрацией (концедент), муниципальным унитарным предприятием городского округа Электросталь Московской области «Производственно- техническое предприятие городского хозяйства» заключено концессионное соглашение в отношении объектов теплоснабжения городского округа Электросталь. По условиям соглашения концедент обязан принимать меры, обеспечивающие окупаемость инвестиций концессионера и получение им валовой выручки в объеме не менее объема, изначально определенного настоящим соглашением, в случаях принятия федеральных законов и/или иных нормативных правовых актов, приводящих к ухудшению положения концессионера таким образом, что он в значительной степени лишается того, на что вправе был рассчитывать при заключении соглашения. В обоснование иска общество ссылается на то, что принятое уполномоченным органом распоряжение об утверждении норматива расхода тепловой энергии, используемой на подогрев холодной воды, привело к значительному ухудшению его положения как концессионера, 3 предоставляющего услуги по регулируемым ценам (тарифам), и снижению объема валовой выручки. Оценив представленные в материалы дела доказательства, суды, руководствуясь положениями статей 15, 393, 401, 431, 1069 Гражданского кодекса Российской Федерации, Федерального закона от 21.07.2005 № 115-ФЗ «О концессионных соглашениях», правовой позицией Пленума Верховного Суда Российской Федерации, изложенной в постановлениях от 23.06.2015 № 25 «О применении судами некоторых положений раздела I части первой Гражданского кодекса Российской Федерации», от 24.03.2016 № 7 «О применении судами некоторых положений Гражданского кодекса Российской Федерации об ответственности за нарушение обязательств», пришли к выводу об отсутствии совокупности условий для привлечения ответчика к гражданско-правовой ответственности в виде возмещения убытков. Суды приняли во внимание буквальное толкование условий концессионного соглашения, согласно которому администрация возмещает обществу убытки в размере недополученных расходов, в случае неисполнения или ненадлежащего исполнения обязательства, выраженного в непринятии, или недостаточном принятии мер, обеспечивающих окупаемость инвестиций концессионера и получение им валовой выручки в объеме не менее объема, изначально определенного соглашением. Отказывая в удовлетворении иска, судебные инстанции исходили из отсутствия доказательств наличия убытков, а также факта неисполнения обязательств по концессионному соглашению со стороны администрации или причинения вреда, в том числе в результате издания несоответствующего закону или иному правовому акту акта органа местного самоуправления, а также причинно-следственной связи между ними. При исследовании обстоятельств дела установлено, что обществом предоставлен отчет о финансовых результатах за 2018 и 2019 годы, из которого следует получение концессионером объема валовой выручки в объеме большем, чем было установлено соглашением на соответствующие годы, при этом иные данные, свидетельствующие об установлении иного размера валовой выручки, из которого можно установить возникновение убытков за спорный период, отсутствуют; норматив расхода тепловой энергии, используемой на подогрев холодной воды, установлен уполномоченным органом с учетом данных, предоставленных сторонами. Возражения общества со ссылкой на неуказание в судебных актах всех имеющихся в деле доказательств и доводов заявителя подлежат отклонению, поскольку не свидетельствуют об отсутствии их надлежащей судебной проверки и оценки. 4 Принимая во внимание установленные обстоятельства, приведенные в жалобе возражения, не свидетельствуют о существенных нарушениях судами норм материального и процессуального права, повлиявших на исход дела. Доводы заявителя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производстве, в связи с чем не могут служить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«Глобус»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