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29.07.2021, оставленным без изменения постановлением Семнадцатого арбитражного апелляционного суда от 18.10.2021 и постановлением Арбитражного суда Уральского округа от 27.12.2021, супруги Татаринцевы В.В. и О.Е. обязаны передать финансовому управляющему транспортное средство, паспорт транспортного средства, свидетельство о регистрации транспортного средства и ключи от него. В кассационной жалобе Татаринцев В.В. просит об отмене судебных актов, ссылаясь на приобретение спорного транспортного средства за счет личных средств супруги, обратившейся с ходатайством об исключении данного имущества из конкурсной массы.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отношении исключения имущества из конкурсной массы имеется самостоятельный спор, в пределах которого подлежит доказыванию источник поступления денежных средств для приобретения имущества, признав рассматриваемое требование предъявленным в пределах исполнения функций по выявлению и обеспечению подлежащего включению в конкурсную массу (пока не доказано обратного)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Татаринцеву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