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29.06.2021, оставленным без изменения постановлением Восемнадцатого арбитражного апелляционного суда от 27.09.2021 и постановлением Арбитражного суда Уральского округа от 29.12.2021, процедура реализации имущества должника завершена, должник освобожден от дальнейшего исполнения требований кредиторов. В кассационной жалобе Уфимцев И.И. просит об отмене судебных актов, ссылаясь на непринятие финансовым управляющим попытки реализации доли должника в жилом доме и земельном участке.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указываемая кредитором доля в имуществе обладает исполнительским иммунитетом и ее реализация противоречила бы статье 446 Гражданского процессуального кодекса Российской Федерации и постановлению Конституционного Суда Российской Федерации от 26.04.2021 № 15-П, предусматривающему приобретение замещающего жилья только при чрезмерности имеющегося.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Уфимцеву И.И.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