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15.07.2021, оставленным без изменения постановлением Девятого арбитражного апелляционного суда от 12.10.2021 и постановлением Арбитражного суда Московского округа от 29.12.2021, в удовлетворении заявления отказано. В кассационной жалобе гражданин Половцев Л.К. просит об отмене судебных актов, ссылаясь на неправомерное признание его недобросовестности и указывает на недобросовестность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отказали в удовлетворении требования, поскольку не полученное заявителем в связи с деятельностью финансового управляющего не подлежит возмещению из конкурсной массы, распределяемой по долгам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Половцеву Л.К.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