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23.08.2021, оставленным без изменения постановлением Девятого арбитражного апелляционного суда от 25.11.2021 и постановлением Арбитражного суда Московского округа от 26.01.2022, заявление удовлетворено. В кассационной жалобе Затесова Ю.Н. просит об отмене судебных актов, ссылаясь на игнорирование недобросовестного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 о недобросовестности должника оценен судами в соответствии с компетенцией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Затесовой Юлии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