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Костромской области от 25.08.2021, оставленным без изменения постановлением Второго арбитражного апелляционного суда от 25.11.2021 и постановлением Арбитражного суда Волго-Вятского округа от 17.02.2022, ходатайство Соколова Н.М. о завершении процедуры реализации имущества и освобождении его от исполнения обязанностей перед кредиторами отклонено; процедура реализации имущества должника продлена на три месяца. В кассационной жалобе Соколов Н.М. просит об отмене судебных актов, ссылаясь на нецелесообразность продолжения процедуры реализации имущества, необходимость привлечения к участию в деле Мартыновой В.Д.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признали, что в силу пункта 2 статьи 213.24 Федерального закона от 26.10.2002 № 127-ФЗ «О несостоятельности (банкротстве)» продление срока реализации имущества должника обусловлено конкретными обстоятельствами дела. Мартынова В.Д. как кредитор обладает статусом участника дела.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