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22.07.2021, оставленным без изменения постановлением Семнадцатого арбитражного апелляционного суда от 04.10.2021 и постановлением Арбитражного суда Уральского округа от 29.12.2021, процедура реализации имущества должника завершена, должник освобожден от дальнейшего исполнения требований кредиторов. В кассационной жалобе Серебряков А.А.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не установили условий, препятствующих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Серебрякову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