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Костромской области от 22.04.2021, оставленным без изменения постановлением Второго арбитражного апелляционного суда от 22.11.2021 и постановлением Арбитражного суда Волго-Вятского округа от 15.02.2022, заявление Соколова Н.М. об обязании финансового управляющего взыскать с ответственного хранителя ущерб, обязать вернуть арендуемое имущество возвращено в связи с неустранением в установленный срок обстоятельств, послуживших основанием для оставления заявления без движения. В кассационной жалобе Соколов Н.М. просит об отмене судебных актов, ссылаясь на предоставление недостаточного времени для устранения недостатков.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Из содержания судебных актов следует неоднократное продление срока для устранения недостатков в оформлении заявления, не выдержанного заявителем, в связи с чем заявление возвращено в соответствии пунктом 4 части 1 статьи 129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