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05.07.2021, оставленным без изменения постановлением Семнадцатого арбитражного апелляционного суда от 23.09.2021 и постановлением Арбитражного суда Уральского округа от 27.12.2021, в удовлетворении заявления отказано. В кассационной жалобе Гришаева Л.П. просит об отмене судебных актов, ссылаясь на игнорирование незаконной продажи принадлежащей ей квартиры в отсутствие обеспечения замещающим жильем, истечение срока на принудительное исполнение судебного акта о взыскании долга по обеспеченному ею обязательству, неисследование вопроса о погашении долга должником в основном обязательстве.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правильно указали на ошибочное применительно к постановлению Конституционного Суда Российской Федерации от 26.04.2021 № 15-П толкование должником исполнительского иммунитета заложенной квартиры. Довод должника о возможности реализации квартиры только в исполнительном производстве на основании решения суда общей юрисдикции об обращении взыскания на квартиру противоречит праву кредитора при неисполнении обеспеченного залогом обязательства инициировать процедуру банкротства должника. Требования кредитора по обеспеченному должником обязательству установлены в деле о банкротстве, поэтому доводы о сроке их принудительного исполнения и размере не влияют на существо судебных актов по рассматриваемому требованию.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Гришаевой Л.П.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