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30.07.2021, оставленным без изменения постановлением Девятого арбитражного апелляционного суда от 01.10.2021 и постановлением Арбитражного суда Московского округа от 28.12.2021, первоначальный иск удовлетворен, в удовлетворении встречного иска отказано. В кассационной жалобе товарищество просит об отмене судебных актов, ссылаясь на наличие законного права на отказ от договора, отсутствие доказательств реального объема отказанных услуг.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Товарищество вправе отказаться от исполнения договора возмездного оказания услуг при условии оплаты предприятию фактически понесенных расходов (статья 782 Гражданского кодекса Российской Федерации). Выводы судебных актов указанной норме не противоречат, учитывая установление отсутствия доказательств в опровержение оказания услуг и потребованной предприятием суммы.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«Монолит-Престиж»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