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08.09.2021, оставленным без изменения постановлением Седьмого арбитражного апелляционного суда от 15.12.2021 и постановлением Арбитражного суда Западно-Сибирского округа от 18.02.2022, в удовлетворении заявления отказано. В кассационной жалобе Турсунова Н.И. просит об отмене судебных актов, ссылаясь на нахождение оружия в пользовании супруга и отсутствие экономического смысла в реализации.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спорное имущество (ружья) является общей совместной собственностью супругов, не обладает исполнительским иммунитетом и исключение его из конкурсной массы при наличии у должника неисполненных обязательств противоречит целям процедур банкротства, поэтому в силу пунктов 2 и 3 статьи 213.25 Федерального закона от 26.10.2002 № 127-ФЗ «О несостоятельности (банкротстве)» и статьи 446 Гражданского процессуального кодекса Российской Федерации не признали основания для исключения его из конкурсной массы. Приведенные в рассматриваемой жалобе доводы рассмотрены и учтены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Турсуновой Н.И.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