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Блюденовой Жанны Сергеевны в Арбитражный суд Московской области обратилась должник с заявлением об исключении из конкурсной массы должника квартиры, расположенной в Московской области. Определением Арбитражного суда Московской области от 03.03.2021 в удовлетворении заявления отказано. Постановлением Десятого арбитражного апелляционного суда от 18.06.2021 определение суда первой инстанции оставлено без изменения. Арбитражный суд Московского округа постановлением от 18.10.2021 указанные судебные акты оставил без изменения. Блюденова Жанна Сергеевна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статьей 50 Федерального закона от 16.07.1998 № 102-ФЗ «Об ипотеке (залоге недвижимости)», разъяснениями, изложенными в пункте 5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отсутствия оснований для распространения исполнительского иммунитета на спорную квартиру, которая является предметом залога и находится в залоге у кредитора должника ПАО АКБ «Абсолют Банк».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Блюденовой Жанне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