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02.08.2021, оставленным без изменения постановлением Пятого арбитражного апелляционного суда от 12.11.2021 и постановлением Арбитражного суда Дальневосточного округа от 04.02.2022, в удовлетворении иска отказано. В кассационной жалобе предприниматель просит об отмене судебных актов, ссылаясь на непредставление ответчиком доказательств, подтверждающих оплату по договору.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исследовав подлинник договора уступки права требования от 01.10.2019, установили наличие в нем рукописной записи о получении кредитором (предпринимателем) денежных средств от приобретателя (ответчика). В указанной ситуации предприниматель не вправе ссылаться на непредставление ответчиком доказательств подтверждения признанного факта. Опровержение установленными процессуальными способами принадлежности указанной записи предпринимателем не сделано, несмотря на разъяснения суда.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Дороган Е.В.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