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требования в размере 85 476 609 рублей 84 копейки. Определением Арбитражного суда Республики Карелия от 11.08.2021, оставленным без изменения постановлениями Тринадцатого арбитражного апелляционного суда от 15.10.2021 и Арбитражного суда Северо-Западного округа от 24.01.2022, признано обоснованным и подлежащим включению в третью очередь реестра требование общества в размере 31 552 714 рублей 85 копеек долга, 6 112 346 рублей 85 копеек процентов по векселю;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названные судебные акты в части отказа во включении в реестр остальной части заявленного им требования и направить дело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пунктом 35 постановления Пленума Верховного Суда Российской Федерации № 33, Пленума Высшего Арбитражного Су РФ № 14 от 04.12.2000 «О некоторых вопросах практики рассмотрения споров, связанных с обращением векселей», исходили из недоказанности возникновения между сторонами обязательственных правоотношений, послуживших основанием для выдачи должником спорного векселя, в связи с чем отказали в удовлетворении заявления в обжалуемой части.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«Аркада»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