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включении в реестр требований кредиторов должника (далее – реестр) 2 157 750 рублей основного долга, 1 165 000 рублей процентов за пользование чужими денежными средствами, 2 808 500 рублей убытков, одновременно заявив ходатайство о восстановлении пропущенного срока для предъявления своего требования. Определением Арбитражного суда Приморского края от 06.04.2021 заявление удовлетворено. Постановлением Пятого арбитражного апелляционного суда от 03.11.2021, оставленным без изменения постановлением Арбитражного суда Дальневосточного округа от 14.01.2022, данное определение изменено: в третью очередь реестра включено требование кредитора в размере 1 рубль основного долга и 2 808 500 рублей убытков, в четвёртую очередь реестра требований кредиторов должника включены проценты за пользование чужими денежными средствами в размере 495 950 рублей 43 копейки. В удовлетворении заявления в остальной части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71, 100, 201.1, 201.5, 201.9 Федерального закона от 26.10.2002 № 127-ФЗ «О несостоятельности (банкротстве)», исходили из установленных по делу обстоятельств погашения должником большей части основного долга перед кредитором, в связи с чем включили оставшуюся его часть в размере 1 рубль в реестр. Документально подтверждённое требование в части убытков в виде разницы между рыночной стоимостью квартиры и ранее переданными кредитором денежными средствами включено судами в третью очередь реестра; заявленная им сумма процентов скорректирована и установлена судами.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Журбе Дмитрию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