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04.08.2021, оставленным без изменения постановлением Девятнадцатого арбитражного апелляционного суда от 22.10.2021 и постановлением Арбитражного суда Центрального округа от 15.02.2022, первоначальный иск удовлетворен, в удовлетворении встречного иска отказано. В кассационной жалобе завод просит об отмене судебных актов, ссылаясь презумпцию вины перевозчика в повреждении груза и формальную оценку доказательств вины.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 осуществление обществом перевозки, характер повреждений груза и доказательства фиксации повреждений и руководствуясь статьями 15, 393, 793, 796 Гражданского кодекса Российской Федерации, признали отсутствие ответственности общества за убытки вследствие повреждения груза.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«Завод Металлоконструкций Сибири»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