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Виноградов В.Ю. обратился в суд с заявлением об исключении из реестра требований кредиторов должника требования Ямщикова Михаила Витальевича в сумме 503 989 рублей 19 копеек. Определением Арбитражного суда Пензенской области от 11.10.2021, оставленным без изменения постановлениями Одиннадцатого арбитражного апелляционного суда от 08.12.2021 и Арбитражного суда Поволжского округа от 07.02.2022,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16 и 71 Федерального закона от 26.10.2002 № 127-ФЗ «О несостоятельности (банкротстве)», исходили из отсутствия оснований для удовлетворения требований конкурсного управляющего должником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«Пензастрой» Виноградову Владимиру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