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07.07.2021, оставленным без изменения постановлением Пятого арбитражного апелляционного суда от 22.10.2021 и постановлением Арбитражного суда Дальневосточного округа от 28.01.2022, в удовлетворении иска отказано. В кассационной жалобе предприниматель просит об отмене судебных актов, ссылаясь игнорирование судами одобрения договора единственным учредителем ответчика и принятие им оплаты за уступленное право.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382 , 421 , 426 , 445 Гражданского кодекса Российской Федерации, признали договор уступки требования не относящимся к договорам, к заключению которых можно понудить.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