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«Логос» обратилось в суд с заявлением о применении последствий ничтожности сделки, совершённой между должником и обществом, – договора цессии от 27.10.2011 и платежа от 13.01.2012 на сумму 20 000 000 рублей, обязав ответчика вернуть в конкурсную массу должника указанную сумму. Определением Арбитражного суда города Санкт-Петербурга и Ленинградской области от 15.04.2021, оставленным без изменения постановлением Тринадцатого арбитражного апелляционного суда от 12.10.2021, отказано в удовлетворении заявления. Постановлением Арбитражного суда Северо-Западного округа от 19.01.2022 отменены определение суда первой инстанции от 15.04.2021 и постановление апелляционного суда от 12.10.2021,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положениями статей 71, 168 и 170 Арбитражного процессуального кодекса Российской Федерации, статей 168 и 170 Гражданского кодекса Российской Федерации, исходил из того, что содержащиеся в судебных актах выводы основаны на не полном выяснении всех обстоятельств, имеющих существенное значение для правильного разрешения настоящего спора. При новом рассмотрении судам необходимо дать мотивированную оценку доводам участников обособленного спора, дать оценку экономической целесообразности оспариваемых отношений, надлежащим образом исследовать представленные доказательства.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«Краснодарстройтрансгаз»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