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13.08.2021, оставленным без изменения постановлением Девятого арбитражного апелляционного суда т 11.1.2021 и постановлением Арбитражного суда Московского округа от 31.01.2022, взыскано 6 385 930 рублей 50 копеек задолженности и 2 400 000 рублей неустойки. В кассационной жалобе общество «Форту» просит об отмене судебных актов, ссылаясь на неосновательную уплату завышенного перевозчиком тарифа и неправильный расчет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требования истца основаны на договоре транспортной экспедиции от 12.03.2019 № ТЭ-03/04-19, согласно которому списанные перевозчиком (ОАО «РЖД») с истца платежи подлежат уплате ответчиком полностью, предусмотрена самостоятельная ответственность ответчика за действия перевозчика; ответчиком подписаны акты оказанных услуг, корректировочные акты, отчеты истца, поэтому требования удовлетворены в соответствии с договором обстоятельствами его исполнения и статьями 779 , 781 Гражданского кодекса Российской Федерации. При уменьшении размера договорной неустойки по заявлению ответчика его довод о неправильном ее расчете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«Форту»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"Совфрахт" (подробнее) Ответчики: ФОРТУ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