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включении в реестр требований кредиторов должника (далее – реестр) задолженности в размере 101 917 790 рублей 33 копейки. Определением Арбитражного суда Новгородской области от 16.08.2021, оставленным без изменения постановлениями Четырнадцатого арбитражного апелляционного суда от 28.10.2021 и Арбитражного суда Северо-Западного округа от 20.01.2022,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16, 71 и 100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основаниям, указав на отсутствие надлежащих доказательств реальности отношений, положенных в основу требований ФИО1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