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Костромина Дмитрия Николаевича в Арбитражный суд Свердловской области обратился должник с заявлением о разрешении разногласий между ним и финансовым управляющим Стуковым А.В. и установлении размера требования кредитора первой очереди Костроминой Натальи Михайловны в сумме 348 727 рублей. Определением Арбитражного суда Свердловской области от 25.03.2021 разрешены разногласия между путем установления размера реестровой задолженности кредитора Костроминой Н.М. в заявленном размере. Должник обратился в арбитражный суд с заявлением о взыскании с Костроминой Н.М. 60 000 рублей судебных расходов на оплату услуг представителя. Определением Арбитражного суда Свердловской области от 05.07.2021 в удовлетворении заявления отказано. Постановлением Семнадцатого арбитражного апелляционного суда от 23.09.2021 определение суда первой инстанции оставлено без изменения. 2 Арбитражный суд Уральского округа постановлением от 18.01.2022 указанные судебные акты оставил без изменения. Костромин Дмитрий Николаевич обратился в Судебную коллегию Верховного Суда Российской Федерации с кассационной жалобой на принятые по заявлению о взыскании судебных расходов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уменьшение размера задолженности должника по алиментным обязательствам с 1 241 980 рублей 44 копеек до 383 649 рублей 39 копеек состоялось в связи с вступлением в законную силу судебного акта суда общей юрисдикции, следовательно, разногласия между должником и Костроминой Н.М. фактически отсутствовали, суды сделали вывод о том, что наличие арифметической ошибки в расчете задолженности и последующее ее устранение путем удовлетворения заявления о разрешении разногласий не свидетельствуют о наличии материально-правового спора между должником и кредитором, что согласно статье 110 Арбитражного процессуального кодекса Российской Федерации и разъяснениям, изложенным в пункте 18 постановления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не влечет возмещения судебных издержек.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Костромину Дмитрию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