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17.06.2021, оставленным без изменения постановлениями Первого арбитражного апелляционного суда от 20.09.2021 и Арбитражного суда Волго-Вятского округа от 19.01.2022, в удовлетворении заявленного требования отказано. В кассационной жалобе общество просит отменить принятые по делу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период с 16.12.2020 по 19.01.2021 отделом надзорной деятельности и профилактической работы по Кстовскому району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Нижегородской области (далее - отдел) проведена внеплановая выездная проверка общества с целью контроля за выполнением предписания по устранению нарушений обязательных требований в области пожарной безопасности от 14.01.2020 № 308/1/2. В ходе проверки установлено, что в подъездах многоквартирных домов, в которых общество осуществляет функции управляющей организации, в нарушение Правил противопожарного режима в Российской Федерации, утвержденных постановлением Правительства Российской Федерации от 16.09.2020 № 1479 (далее - Правила № 1479), допущено устройство кладовок на лестничных клетках. По результатам проверки составлен акт от 19.01.2021 № 151 и выдано предписание от 19.01.2020 № 151/1/1 об устранении нарушений обязательных требований пожарной безопасности. Не согласившись с предписанием управления,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22.07.2008 № 123-ФЗ «Технический регламент о требованиях пожарной безопасности», Федерального закона от 21.12.1994 № 69-ФЗ «О пожарной безопасности», Правилами содержания общего имущества в многоквартирном доме, утвержденными постановлением 3 Правительства РФ от 13.08.2006 № 491, пришли к выводу о том, что предписание управления соответствует нормам жилищного законодательства и не нарушает права и законные интересы общества, с чем согласился суд округа. Судебные инстанции исходили из того, что выявленные управлением нарушения обязательных требований в случае возникновения пожара свидетельствуют о возникновении угрозы причинения вреда жизни, здоровью граждан. Доводы кассационной жалобы, в том числе о том, что обязанность по устранению выявленного нарушения лежит на собственниках помещений, о неясности и неисполнимости спорного предписания, являлись предметом рассмотрения судов, получили надлежащую правовую оценку с учетом установленных обстоятельств дела и мотивированно отклонены, основаны на неверном толковании норм материального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«Кстовская домоуправляющая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