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принятом при новом рассмотрении спора определением Арбитражного суда города Москвы от 02.07.2021, оставленным без изменения постановлением Девятого арбитражного апелляционного суда от 21.09.2021 и постановлением Арбитражного суда Московского округа от 28.12.2021, признаны недействительными сделки должника по выдаче простых векселей и вексельного поручительства, в удовлетворении производных от сделок требований о включении требований в реестр и процессуальном правопреемстве отказано. В кассационной жалобе акционерное общество «Новая магистраль» просит об отмене судебных актов, ссылаясь на несоответствие фактическим обстоятельства спора выводов судов об аффилированности сторон сделок, неплатежеспособности должника на момент их совершения, игнорирование преюдициального значения судебных актов по другим делам. 2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исследовали обстоятельства выдачи простых векселей и вексельного поручительства должником и признали их создающими условия для недействительности сделок в силу пункта 2 статьи 61.2 Федерального закона от 26.10.2002 № 127-ФЗ «О несостоятельности (банкротстве)» и статьей 10, 168, 170 Гражданского кодекса Российской Федерации. Иная оценка заявителем обстоятельств заключения сделок не создает оснований для кассационного пересмотра судебных актов. Довод заявителя об игнорировании судами преюдициального значения решения суда общей юрисдикции неоснователен, поскольку обстоятельства, послужившие основанием для оспаривания действительности сделок применительно к статье 61.2 Федерального закона «О несостоятельности (банкротстве)», при рассмотрении иска о взыскании задолженности по векселям не заявлялись и не исследовались.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«Новая магистраль»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