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Ярославской области от 19.03.2021 завершена процедура реализации имущества, должник освобожден от дальнейшего исполнения обязательств перед кредиторами, за исключением требования о возмещении 5 878 756 рублей убытков, взысканных в доход федерального бюджета решением Рыбинского городского суда Ярославской области от 19.09.2016 № 2-3049/2016. Постановлением Второго арбитражного апелляционного суда от 17.08.2021 определение отменено в части, Белов М.В. освобожден от дальнейшего исполнения требований кредиторов, в том числе требований, не заявленных при проведении процедуры реализации имущества. Постановлением Арбитражного суда Волго-Вятского округа от 10.01.2022, постановление апелляционного суда от 17.08.2021 отменено, определение суда первой инстанции от 19.03.2021 оставлено в силе. В кассационной жалобе Белов М.Р. просит об отмене определения суда первой инстанции и постановления окружного суда, ссылаясь на реализацию налоговой инспекцией права на взыскание задолженности в деле о банкротстве ООО «БСМ «Монолит» и неустановление вины должника в неуплате налога.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первой инстанции установил, что основанием спорного требования к должнику является решение суда общей юрисдикции, которым установлены умышленные действия должника по неуплате налогов и взысканы убытки в размере налоговой задолженности, не могущее в силу статьи 69 Арбитражного процессуального кодекса Российской Федерации быть игнорированным в рассматриваемом деле при рассмотрении вопроса об исполнении должником после завершения процедуры банкротства требований кредиторов. Учитывая обстоятельства возникновения спорного требования и выявление его наличия, попадающие под правила пунктов 5, 6 статьи 213.28 Федерального закона от 26.10.2002 № 127-ФЗ «О несостоятельности (банкротстве)», суд первой инстанции правомерно отказал в освобождении должника от исполнения требования после завершения процедур банкротства. В отсутствие у суда апелляционной инстанции оснований для иных выводов в отношении тех же обстоятельств, окружной суд отменил апелляционное постановление в соответствии с компетенцией, предусмотренной статьями 286-288 Арбитражного процессуального кодекса Российской Федерации. Доводы жалобы противоречат названным нормам и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Белову Михаилу Рудольфовичу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