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23.07.2021, оставленным без изменения постановлением Девятого арбитражного апелляционного суда от 29.09.2021 и постановлением Арбитражного суда Московского округа от 27.12.2021, процедура реализации имущества должника завершена, должник освобожден от дальнейшего исполнения требований кредиторов. В кассационной жалобе Кузнецов А.И.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