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14.07.2021, оставленным без изменения постановлением Девятого арбитражного апелляционного суда от 30.09.2021 и постановлением Арбитражного суда Московского округа от 20.12.2021, заявление удовлетворено. В кассационной жалобе финансовый управляющий просит об отмене судебных актов, ссылаясь на неправомерное установление в реестре требования кредитора, подтвержденного решением суда общей юрисдикции, без надлежащей проверки правоотношений сторон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подтвержденное решением суда общей юрисдикции требование компании о включении задолженности в сумме 7 900 920 рублей 81 копейки в реестр как соответствующее критериям статей 71, 100 Федерального закона от 26.10.2002 № 127-ФЗ «О несостоятельности (банкротстве)». Аффилированность должника с кредитором не влияет на установление в деле о банкротстве гражданина требования, подтвержденного судебным актом и имеющим в силу статьи 69 Арбитражного процессуального кодекса Российской Федерации значение для рассматриваемого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Воропаевой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