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28.07.2021, оставленным без изменения постановлением Девятого арбитражного апелляционного суда от 05.10.2021 и постановлением Арбитражного суда Московского округа от 27.12.2021, в удовлетворении заявления отказано. В кассационной жалобе Береснева Я.С. просит об отмене судебных актов, ссылаясь на ошибочные выводы о ее недобросовестности и отсутствие иного пригодного для проживания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Суды, установив, что спорная квартира никогда не использовалась для проживания должника и его детей, имеются другие жилые помещения для их проживания, отказали должнику в защите права на исключение квартиры из конкурсной массы в силу статьи 10 Гражданского кодекса Российской Федерации. Приведенные в жалобе доводы рассмотрены и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Бересневой Я.С.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