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Ивановской области от 13.07.2021, оставленным без изменения постановлением Второго арбитражного апелляционного суда от 08.10.2021 и постановлением Арбитражного суда Волго-Вятского округа от 28.12.2021, заявление удовлетворено. В кассационной жалобе Баукина Л.П. просит об отмене судебных актов, ссылаясь на отсутствие у управляющего полномочий для истребования такого рода документов и обращения от имени должника к нотариусу по вопросам принятия наследства.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Право финансового управляющего через суд просить об истребовании информации, необходимой для формирования конкурсной массы, основано на статье 66 Арбитражного процессуального кодекса Российской Федерации, статьях 20.3, 213.9 и 213.25 Федерального закона от 26.10.2002 № 127-ФЗ «О несостоятельности (банкротстве)», которыми руководствовались суды, удовлетворяя заявленное требование. Приведенные в кассационной жалобе доводы являлись предметом рассмотрения судов, получили надлежащую правовую оценку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Баукиной Любови Павловне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