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28.06.2021, оставленным без изменения постановлением Восемнадцатого арбитражного апелляционного суда от 14.09.2021 и постановлением Арбитражного суда Уральского округа от 29.12.2021, заявление истца о взыскании с ответчика 187 166 рублей 33 копеек судебных расходов удовлетворено частично: взыскано 25 000 рублей судебных расходов на оплату услуг представителя, 98 586 рублей судебных издержек. В кассационной жалобе общество «ФаворитТрансСервис» просит об отмене судебных актов, ссылаясь на отсутствие доказательств несения расходов и относимости расходов к рассматриваемому делу.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Приведенные в жалобе доводы рассмотрены и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«ФаворитТрансСервис»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