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10.06.2021 в удовлетворении заявления отказано. Одиннадцатым арбитражным судом дело рассмотрено по правилам для суда первой инстанции и постановлением от 20.10.2021, оставленным без изменения постановлением Арбитражного суда Поволжского округа от 25.01.2022, определение от 10.06.2021 отменено, в удовлетворении заявления отказано. В кассационной жалобе Москаленко Т.Ю. просит об отмене судебных актов, ссылаясь на передачу в залог 1/4 части дома и несоотносимость стоимости автомобиля с размером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50, 78 Федерального закона от 16.07.1998 № 102-ФЗ «Об ипотеке (залоге недвижимости)»,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(банкротстве)», суды пришли к правильному выводу об отсутствии оснований для исключения из конкурсной массы дома с земельным участком и автомобиля, учитывая нахождение указанного имущества в залоге. Довод должника о нахождении в залоге части дома признан противоречащим договору о залоге.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Москаленко Тимуру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