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после отмены ранее состоявшихся судебных актов решением Арбитражного суда Самарской области от 20.05.2021, оставленным без изменения постановлением Одиннадцатого арбитражного апелляционного суда от 07.09.2021 и постановлением Арбитражного суда Поволжского округа от 29.12.2021, в удовлетворении иска отказано. В кассационной жалобе общество «КАМАЗ» просит об отмене судебных актов вследствие несоответствия выводов судов обстоятельствам дела и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исследовав обстоятельства перевозки, признали доказанной непричастность перевозчика к утрате груза и опровергнутой презумпцию его вины в несохранной перевозке, поэтому отказали во взыскании стоимости недостающего груза в соответствии со статьей 796 Гражданского кодекса Российской Федерации.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«КАМАЗ»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