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Нижегородской области от 09.07.2021, оставленным без изменения постановлением Первого арбитражного апелляционного суда от 05.10.2021 и постановлением Арбитражного суда Волго-Вятского округа от 24.12.2021, в удовлетворении жалобы отказано. В кассационной жалобе Козлов В.Е. просит об отмене судебных актов, ссылаясь на нарушение права на проведение собрания кредиторов в соответствии с требованиями законодательства о банкротстве.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Суды установили предоставление финансовым управляющим выписки из реестра требований кредиторов, содержащей надлежащие сведения, не повлекшее влияния на решение собрания кредиторов от 27.04.2021 и подтверждающее отсутствие основания для признания незаконными действий финансового управляющего, поэтому в силу статей 20.3, 213.9 Федерального закона от 26.10.2002 № 127-ФЗ «О несостоятельности (банкротстве)» и их судебного толкования отклонили заявленное требование. Иная оценка кредитором действий финансового управляющего не отвечает критериям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Козлову Владимиру Евгеньевичу в передаче кассационной жалобы для рассмотрения в судебном заседании Судебной коллегии по экономическим спорам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