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27.08.2020, оставленным без изменения постановлением Восьмого арбитражного апелляционного суда от 2 05.11.2020, в удовлетворении первоначального иска и встречного иска отказано. Постановлением Арбитражного суда Западно-Сибирского округа от 03.03.2021 судебные акты отменены в части отказа в удовлетворении встречного искового заявления, в указанной части дело направлено на новое рассмотрение в суд первой инстанции. Решением Арбитражного суда Омской области от 14.04.2021 в удовлетворении встречного искового заявления отказано. Постановлением Восьмого арбитражного апелляционного суда от 14.09.2021 решение суда первой инстанции отменено, с департамента в пользу общества взысканы проценты за пользование чужими денежными средствами в сумме 1 018 148 рублей 71 копейка, 150 000 рублей судебных расходов на оплату услуг представителя. Постановлением Арбитражного суда Западно-Сибирского округа от 28.12.2021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изменить постановления апелляционного суда и суда округа, взыскать с департамента судебные расходы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апелляционной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3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размере 150 000 рублей. Суд округа поддержал выводы суда апелляционной инстанции. Доводы общества,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дела, основаны на ином толковании норм права,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«АвтоСила-55»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