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18.08.2021 в удовлетворении заявления отказано. Постановлением Двенадцатого арбитражного апелляционного суда от 17.11.2021, оставленным без изменения постановлением Арбитражного суда Поволжского округа от 26.01.2022, определение отменено: платежи признаны недействительными, спорная сумма взыскана с Горбунова С.В. в конкурсную массу. В кассационной жалобе Горбунов С.В. просит об отмене судебных актов, ссылаясь на ненадлежащее исследование оснований совершения платежей, необоснованные выводы об отсутствии между сторонами правоотношений по аренде.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Вопреки доводу заявителя установленные судами обстоятельства совершения платежей (между аффилированными лицами, без встречного предоставления, при наличии у должника неисполненных обязательств) создают условия их недействительности в силу пункта 2 статьи 61.2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Горбунову Сергею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