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30.07.2021, оставленным без изменения постановлением Девятого арбитражного апелляционного суда от 07.10.2021 и постановлением Арбитражного суда Московского округа от 14.01.2022, применены последствия недействительности соглашения об уплате алиментов на содержание ребенка от 08.04.2016 в виде обязания Киреевой Л.А. возвратить в конкурсную массу должника 10 459 355 рублей 02 копейки. В кассационной жалобе Киреева Л.А. просит об отмене судебных актов, ссылаясь на отсутствие законного основания для возврата алиментных платежей, недопустимость противопоставления прав ребенка и кредиторов, неосновательность принятия расчета судебного пристава-исполнителя.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поступившая в счет исполнения ранее признанного недействительным соглашения об алиментах денежная сумма за минусом причитавшихся на содержание ребенка выплат, рассчитанных по закону для не имеющего дохода должника, подлежит возврату в конкурсную массу должника в силу статьи 167 Гражданского кодекса Российской ,Федерации, пункта 1 статьи 61.6 Федерального закона от 26.10.2002 № 127-ФЗ «О несостоятельности (банкротстве)». В ситуации банкротства должника определенные в таком порядке алиментные платежи признаны судами не нарушающими прав ребенка.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Киреевой Л.А.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