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Удмуртской Республики от 26.05.2021, оставленным без изменения постановлением Семнадцатого арбитражного апелляционного суда от 16.08.2021 и постановлением Арбитражного суда Уральского округа от 29.12.2021, заявление удовлетворено. В кассационной жалобе Жебровская А.В. просит об отмене судебных актов, ссылаясь на доказанность несения расходов на содержание имущества на полученные в дар средства, а не за счет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перечисление спорных денежных средств после возбуждения дела о банкротстве должника в пользу его супруги, осведомленной о неплатежеспособности, преследовало цель вывода активов во вред кредиторам, поэтому признали платежи попадающими под недействительные сделки в силу пункта 2 статьи 61.2 Федерального закона от 26.10.2002 № 127-ФЗ «О несостоятельности (банкротстве)».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Жебровской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