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10.08.2021, оставленным без изменения постановлением Девятого арбитражного апелляционного суда от 19.10.2021 и постановлением Арбитражного суда Московского округа от 28.12.2021, в удовлетворении заявления отказано. В кассационной жалобе Шин М.М. просит об отмене судебных актов, ссылаясь на несоответствие выводов судов о неисполнении должником обязанности по передаче финансовому управляющего сведений об имуществе, уклонении от регистрации доли в квартире и отсутствии у финансового управляющего достаточных сведений для оспаривания сделки фактическим обстоятельствам спора.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отсутствие нарушений, которые могли бы повлечь констатацию незаконности действий финансового управляющего, поэтому в силу статей 20.3, 60, 213.9 Федерального закона от 26.10.2002 № 127-ФЗ «О несостоятельности (банкротстве)» и их судебного толкования отклонили требование. Суды учли, что имущество было возвращено в конкурсную массу должника и продано на торгах и восстановление прав на него не может быть достигнуто посредством заявленных требований. Иная оценка должником своих и финансового управляющего действий не отвечает критериям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Шин М.М.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