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08.09.2021, оставленным без изменения постановлением Семнадцатого арбитражного апелляционного суда от 16.11.2021 и постановлением Арбитражного суда Уральского округа от 04.02.2022, заявление удовлетворено. В кассационной жалобе Бусыгина В.П. просит об отмене судебных актов, ссылаясь на незаконную выдачу исполнительного листа в отношении требования кредитора, не погашенного в рамках процедур банкротства должника, освобожденного от дальнейшего исполнения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заявленное требование связано с применением последствий недействительности сделок, сохраняющих силу после окончания производства по делу о банкротстве гражданина в непогашенной части (определение от 05.04.2019), руководствуясь пунктами 5, 6 статьи 213.28 Федерального закона от 26.10.2002 № 127-ФЗ «О несостоятельности (банкротстве)» и судебной практикой их применения, обоснованно выдали исполнительный лист, возложив на должника обязанность передать кредитору (взыскателю) денежные средства в сумме, ранее включенной в реестр, за вычетом сумм, погашенных в процедурах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Бусыгиной В.П.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