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12.07.2021, оставленным без изменения постановлением Десятого арбитражного апелляционного суда от 23.09.2021 и постановлением Арбитражного суда Московского округа от 24.12.2021, иск удовлетворен. В кассационной жалобе общество «ДВКС» просит об отмене судебных актов, ссылаясь на несоответствие выводов судов об одностороннем отказе ответчика от исполнения договора и согласовании сторонами почасового учета оказываемых услуг фактическим обстоятельствам спора и представленным доказательствам.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основываясь на представленных доказательствах и руководствуясь статьями 450.1, 779, 781, 782 Гражданского кодекса Российской Федерации, установили односторонний отказ ответчика от исполнения договора от 10.09.2018 № 100918 и возникновение обязанности ответчика оплатить фактически оказанные услуги на подтвержденную сумму. Оспаривание оценки доказательств, заложенное в доводах жалобы, не составляет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«ДВКС»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