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30.07.2021 заявление удовлетворено. Девятый арбитражный апелляционный суд постановлением от 05.08.2021 отменил определение от 30.07.3031 и в удовлетворении заявления отказал. Арбитражный суд Московского округа постановлением от 21.12.2021 постановление апелляционного суда от 05.08.2021 оставил без изменения. В кассационной жалобе Беликов А.В. просит об отмене судебных актов апелляционного и окружного судов, ссылаясь на отсутствие оценки цепочки взаимосвязанных сделок, приведших к выводу имущества из конкурсной массы, и неправильное исчисление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установив нерассмотрение судом первой инстанции заявления о применении исковой давности правомерно отменил определение этого суда и в соответствии со статьей 61.9 Федерального закона от 26.10.2002 № 127-ФЗ «О несостоятельности (банкротстве)» и пунктом 2 статьи 181 Гражданского кодекса Российской Федерации отказал в иске за пропуском срока исковой давности. Довод финансового управляющего об ином начале течения срока исковой давности для оспаривания взаимосвязанных сделок не влияет на существо судебных актов, учитывая опровержение доказательств взаимосвязанности и непризнание таковой в отношении сделок апелляционным судом.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Беликову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