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10.06.2021, оставленным без изменения постановлением Девятого арбитражного апелляционного суда от 12.10.2021 и постановлением Арбитражного суда Московского округа от 24.01.2022, требования банка в размере 22 617 791 рубля 81 копейки включены в третью очередь реестра как обеспеченные залогом имущества. В кассационной жалобе Левицкий Е.В. просит об отмене судебных актов, ссылаясь на неправомерное включение в реестр требования на сумму, превышающую стоимость заложенного имущества.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Объем ответственности должника как залогодателя определяется договором о залоге, в соответствии с которым должник, не являясь должником в основном обязательстве, отвечает в пределах стоимости заложенного имущества. Размер обеспеченного залогом требования установлен на основании судебного акта суда общей юрисдикции и в силу статьи 69 Арбитражного процессуального кодекса Российской Федерации не мог быть изменен.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Левицкому Е.В.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