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29.06.2021, оставленным без изменения постановлением Девятого арбитражного апелляционного суда от 15.09.2021 и постановлением Арбитражного суда Московского округа от 27.12.2021, в удовлетворении иска отказано. В кассационной жалобе предприниматель просит об отмене судебных актов, ссылаясь на переход из предварительного в основное судебное заседание при наличии его возражениий, отсутствие надлежащей оценки представленных доказательств, несоответствие выводов судов фактическим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Нарушений части 4 статьи 137 Арбитражного процессуального кодекса Российской Федерации судом первой инстанции при переходе из предварительного в основное судебное заседание апелляционный суд не установил, исследовав существо возражений предпринимателя. Суды установили направление корпорацией мотивированного отказа от подписания полученного от предпринимателя акта оказания услуг, неустранение предпринимателем указанных недостатков, правомерность отказа корпорации от договора, поэтому в силу статей 711, 720, 781 Гражданского кодекса Российской Федерации отказали во взыскании стоимости услуг. Приведенные в жалобе доводы рассмотрены и учтены судами и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Большухину 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