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28.06.2021, оставленным без изменения постановлением Семнадцатого арбитражного апелляционного суда от 15.09.2021 и постановлением Арбитражного суда Уральского округа от 20.12.2021, в удовлетворении заявления отказано. В кассационной жалобе Шеревкулов А.М. просит об отмене судебных актов, ссылаясь на формальный подход к оценке аффилированности финансового управляющего с кредитором и его представителем.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установив отсутствие конкретных фактов нарушения деятельностью финансового управляющего прав должника, руководствуясь статьями 20, 20.2, 20.3, 145, 213.9 Федерального закона от 26.10.2002 № 127-ФЗ «О несостоятельности (банкротстве)», исходили из отсутствия доказательств проявления заинтересованности финансового управляющего по отношению к указанным должником лицам и основания для его отстранения от исполнения обязанностей. Иная оценка деятельности управляющего и выводов о ней судов, обозначенная в жалобе, не создает оснований для пересмотра судебных актов в кассационном порядке.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Шеревкулову А.М.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