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13.09.2021, оставленным без изменения постановлением Одиннадцатого арбитражного апелляционного суда от 23.11.2021 и постановлением Арбитражного суда Поволжского округа от 20.01.2022, производство по заявлению прекращено вследствие прекращения производства по делу о банкротстве в связи с погашением требований кредиторов. В кассационной жалобе Миллер Г.В. просит об отмене судебных актов, ссылаясь на незаконность прекращения производства по всем обособленным спорам при прекращении производства по делу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Удовлетворение находящихся в реестре требований установлено судами и дело прекращено на основании указанной нормы. Обособленные споры рассматриваются в рамках дела о банкротстве и в связи с ведением дела о банкротстве, поэтому их судьба следует за судьбой дела. Иное толкование заявителем законодательства о банкротстве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Миллеру Г.В.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