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20.07.2021, оставленным без изменения постановлением Девятого арбитражного апелляционного суда от 15.10.2021 и постановлением Арбитражного суда Московского округа от 29.12.2021, в удовлетворении заявления отказано. В кассационной жалобе Бекзантеева Ж.К. просит об отмене судебных актов, ссылаясь на наличие у спорной недвижимости статуса единственного пригодного для проживания ее семьи помещения.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Установленное судами нахождение спорного имущества в ипотеке попадает под исключение из указанных в статье 446 Гражданского процессуального кодекса Российской Федерации случаев невозможности обращения на него взыскания. Доводы кассационной жалобы не подтверждают нарушения норм права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Бекзантеевой Жанне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